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Вправе ли заказчик (орган местного самоуправления) при заключении контракта с победителем открытого конкурса внести в него изменения в части установления ответственности сторон за неисполнение обязательств по контракту (изменить порядок определения штрафа по сравнению с предусмотренным в проекте контракта - части конкурсной документации)?</w:t>
      </w:r>
      <w:proofErr w:type="gramEnd"/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Размер неустойки (штрафа, пени) подлежит включению заказчиком непосредственно в проект контракта, прилагаемый к документации о закупке; возможность внесения в него изменений при заключении контракта законодательство не предусматривает. Следовательно, заказчик не вправе при заключении контракта изменить порядок определения штрафа по сравнению с </w:t>
      </w:r>
      <w:proofErr w:type="gramStart"/>
      <w:r>
        <w:rPr>
          <w:rFonts w:ascii="Calibri" w:hAnsi="Calibri" w:cs="Calibri"/>
        </w:rPr>
        <w:t>предусмотренным</w:t>
      </w:r>
      <w:proofErr w:type="gramEnd"/>
      <w:r>
        <w:rPr>
          <w:rFonts w:ascii="Calibri" w:hAnsi="Calibri" w:cs="Calibri"/>
        </w:rPr>
        <w:t xml:space="preserve"> в проекте контракта - части конкурсной документации.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Согласно </w:t>
      </w:r>
      <w:hyperlink r:id="rId6" w:history="1">
        <w:r>
          <w:rPr>
            <w:rFonts w:ascii="Calibri" w:hAnsi="Calibri" w:cs="Calibri"/>
            <w:color w:val="0000FF"/>
          </w:rPr>
          <w:t>ч. 2 ст. 34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при заключении и исполнении контракта изменение его условий не допускается, за исключением случаев, предусмотренных данным Федеральным законом.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ч. 4 ст. 34</w:t>
        </w:r>
      </w:hyperlink>
      <w:r>
        <w:rPr>
          <w:rFonts w:ascii="Calibri" w:hAnsi="Calibri" w:cs="Calibri"/>
        </w:rPr>
        <w:t xml:space="preserve"> Федерального закона N 44-ФЗ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8 ст. 34</w:t>
        </w:r>
      </w:hyperlink>
      <w:r>
        <w:rPr>
          <w:rFonts w:ascii="Calibri" w:hAnsi="Calibri" w:cs="Calibri"/>
        </w:rPr>
        <w:t xml:space="preserve"> Федерального закона N 44-ФЗ штрафы начисляются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контрактом. </w:t>
      </w:r>
      <w:proofErr w:type="gramStart"/>
      <w:r>
        <w:rPr>
          <w:rFonts w:ascii="Calibri" w:hAnsi="Calibri" w:cs="Calibri"/>
        </w:rPr>
        <w:t xml:space="preserve">Размер штрафа устанавливается контрактом в виде фиксированной суммы, определенной в порядке, установленном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25.11.2013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</w:t>
      </w:r>
      <w:proofErr w:type="gramEnd"/>
      <w:r>
        <w:rPr>
          <w:rFonts w:ascii="Calibri" w:hAnsi="Calibri" w:cs="Calibri"/>
        </w:rPr>
        <w:t xml:space="preserve"> контрактом".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0" w:history="1">
        <w:r>
          <w:rPr>
            <w:rFonts w:ascii="Calibri" w:hAnsi="Calibri" w:cs="Calibri"/>
            <w:color w:val="0000FF"/>
          </w:rPr>
          <w:t>ч. 2 ст. 50</w:t>
        </w:r>
      </w:hyperlink>
      <w:r>
        <w:rPr>
          <w:rFonts w:ascii="Calibri" w:hAnsi="Calibri" w:cs="Calibri"/>
        </w:rPr>
        <w:t xml:space="preserve"> Федерального закона N 44-ФЗ следует, что к конкурсной документации должен быть приложен проект контракта (в случае проведения открытого конкурса по нескольким лотам - проект контракта в отношении каждого лота), который является неотъемлемой частью конкурсной документации.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Частью 1 ст. 54</w:t>
        </w:r>
      </w:hyperlink>
      <w:r>
        <w:rPr>
          <w:rFonts w:ascii="Calibri" w:hAnsi="Calibri" w:cs="Calibri"/>
        </w:rPr>
        <w:t xml:space="preserve"> Федерального закона N 44-ФЗ предусмотрено, что по результатам конкурса контракт заключается на условиях, указанных в заявке на участие в конкурсе, поданной участником конкурса, с которым заключается контракт, и в конкурсной документации.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ФАС России в </w:t>
      </w:r>
      <w:hyperlink r:id="rId12" w:history="1">
        <w:r>
          <w:rPr>
            <w:rFonts w:ascii="Calibri" w:hAnsi="Calibri" w:cs="Calibri"/>
            <w:color w:val="0000FF"/>
          </w:rPr>
          <w:t>Решении</w:t>
        </w:r>
      </w:hyperlink>
      <w:r>
        <w:rPr>
          <w:rFonts w:ascii="Calibri" w:hAnsi="Calibri" w:cs="Calibri"/>
        </w:rPr>
        <w:t xml:space="preserve"> от 10.10.2014 по делу N К-1469/14 отмечает: учитывая, что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 изменение заказчиком положений проекта контракта по истечении срока для внесения изменений в извещение, документацию о проведении закупок, размер неустойки (штрафа, пени) подлежит включению заказчиком непосредственно в проект контракта, прилагаемый к документации о закупке.</w:t>
      </w:r>
      <w:proofErr w:type="gramEnd"/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Таким образом, заказчик не вправе при заключении контракта изменить порядок определения штрафа по сравнению с предусмотренным в проекте контракта - части конкурсной документации.</w:t>
      </w:r>
      <w:proofErr w:type="gramEnd"/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16.02.2015</w:t>
      </w: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0EEC" w:rsidRDefault="00330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0EEC" w:rsidRDefault="00330EE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C63E8" w:rsidRDefault="00CC63E8">
      <w:bookmarkStart w:id="0" w:name="_GoBack"/>
      <w:bookmarkEnd w:id="0"/>
    </w:p>
    <w:sectPr w:rsidR="00CC63E8" w:rsidSect="0097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EC"/>
    <w:rsid w:val="00330EEC"/>
    <w:rsid w:val="00C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4022CC944D78C21A2AA87BD39FB3FD2808E38F23228C720FCC396A669E54A55DFEDF38DC1047F7SFY2M" TargetMode="External"/><Relationship Id="rId13" Type="http://schemas.openxmlformats.org/officeDocument/2006/relationships/hyperlink" Target="consultantplus://offline/ref=174022CC944D78C21A2AA87BD39FB3FD2808E38F23228C720FCC396A669E54A55DFEDF38DC1142F0SFY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4022CC944D78C21A2AA87BD39FB3FD2808E38F23228C720FCC396A669E54A55DFEDF38DC1144F6SFYEM" TargetMode="External"/><Relationship Id="rId12" Type="http://schemas.openxmlformats.org/officeDocument/2006/relationships/hyperlink" Target="consultantplus://offline/ref=174022CC944D78C21A2AB67DD7F7E6AE240DE28E28268C720FCC396A669E54A55DFEDF38DC1140F3SFY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4022CC944D78C21A2AA87BD39FB3FD2808E38F23228C720FCC396A669E54A55DFEDF38DC1144F6SFY8M" TargetMode="External"/><Relationship Id="rId11" Type="http://schemas.openxmlformats.org/officeDocument/2006/relationships/hyperlink" Target="consultantplus://offline/ref=174022CC944D78C21A2AA87BD39FB3FD2808E38F23228C720FCC396A669E54A55DFEDF38DC1146FFSFYA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4022CC944D78C21A2AA87BD39FB3FD2808E38F23228C720FCC396A669E54A55DFEDF38DC1146F7SFY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4022CC944D78C21A2AA87BD39FB3FD280AE68428268C720FCC396A669E54A55DFEDF38DC1140F6SFY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2015-03-26T12:24:00Z</dcterms:created>
  <dcterms:modified xsi:type="dcterms:W3CDTF">2015-03-26T12:24:00Z</dcterms:modified>
</cp:coreProperties>
</file>